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Times Roman" w:cs="Times Roman" w:hAnsi="Times Roman" w:eastAsia="Times Roman"/>
        </w:rPr>
      </w:pPr>
      <w:r>
        <w:rPr>
          <w:rFonts w:ascii="Arial" w:hAnsi="Arial"/>
          <w:sz w:val="32"/>
          <w:szCs w:val="32"/>
          <w:rtl w:val="0"/>
        </w:rPr>
        <w:t>Elektra</w:t>
      </w:r>
      <w:r>
        <w:rPr>
          <w:rFonts w:ascii="Arial" w:hAnsi="Arial"/>
          <w:sz w:val="32"/>
          <w:szCs w:val="32"/>
          <w:rtl w:val="0"/>
          <w:lang w:val="en-US"/>
        </w:rPr>
        <w:t xml:space="preserve"> </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Arial" w:hAnsi="Arial"/>
          <w:sz w:val="32"/>
          <w:szCs w:val="32"/>
          <w:rtl w:val="0"/>
          <w:lang w:val="en-US"/>
        </w:rPr>
        <w:t>Since its founding in 1987 in Vancouver, Canada, Elektra has emerged as a pioneering force among adult treble-voice choirs. Under the visionary leadership of Artistic Director Morna Edmundson, Elektra is celebrated for its daring and imaginative programming, coupled with outstanding performances. The choir's excellence has been recognised with multiple national awards, and Elektra has had the honour of performing at esteemed choral conferences worldwide.</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Arial" w:hAnsi="Arial"/>
          <w:sz w:val="32"/>
          <w:szCs w:val="32"/>
          <w:rtl w:val="0"/>
          <w:lang w:val="en-US"/>
        </w:rPr>
        <w:t>Elektra is steadfast in its mission to champion Canadian composers and expand the boundaries of choral repertoire. Over the past three decades, the choir has commissioned and premiered more than 100 compositions and arrangements, firmly establishing itself as a leader in the choral community.</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Arial" w:hAnsi="Arial"/>
          <w:sz w:val="32"/>
          <w:szCs w:val="32"/>
          <w:rtl w:val="0"/>
          <w:lang w:val="en-US"/>
        </w:rPr>
        <w:t xml:space="preserve">A standout achievement for Elektra is the release of </w:t>
      </w:r>
      <w:r>
        <w:rPr>
          <w:rFonts w:ascii="Arial" w:hAnsi="Arial"/>
          <w:i w:val="1"/>
          <w:iCs w:val="1"/>
          <w:sz w:val="32"/>
          <w:szCs w:val="32"/>
          <w:rtl w:val="0"/>
          <w:lang w:val="en-US"/>
        </w:rPr>
        <w:t>Snew</w:t>
      </w:r>
      <w:r>
        <w:rPr>
          <w:rFonts w:ascii="Arial" w:hAnsi="Arial" w:hint="default"/>
          <w:i w:val="1"/>
          <w:iCs w:val="1"/>
          <w:sz w:val="32"/>
          <w:szCs w:val="32"/>
          <w:rtl w:val="0"/>
        </w:rPr>
        <w:t>í</w:t>
      </w:r>
      <w:r>
        <w:rPr>
          <w:rFonts w:ascii="Arial" w:hAnsi="Arial"/>
          <w:i w:val="1"/>
          <w:iCs w:val="1"/>
          <w:sz w:val="32"/>
          <w:szCs w:val="32"/>
          <w:rtl w:val="0"/>
        </w:rPr>
        <w:t>yalh tl'a Sta</w:t>
      </w:r>
      <w:r>
        <w:rPr>
          <w:rFonts w:ascii="Arial" w:hAnsi="Arial" w:hint="default"/>
          <w:i w:val="1"/>
          <w:iCs w:val="1"/>
          <w:sz w:val="32"/>
          <w:szCs w:val="32"/>
          <w:rtl w:val="0"/>
        </w:rPr>
        <w:t>ḵ</w:t>
      </w:r>
      <w:r>
        <w:rPr>
          <w:rFonts w:ascii="Arial" w:hAnsi="Arial"/>
          <w:i w:val="1"/>
          <w:iCs w:val="1"/>
          <w:sz w:val="32"/>
          <w:szCs w:val="32"/>
          <w:rtl w:val="0"/>
          <w:lang w:val="en-US"/>
        </w:rPr>
        <w:t>w (Teachings of the Water)</w:t>
      </w:r>
      <w:r>
        <w:rPr>
          <w:rFonts w:ascii="Arial" w:hAnsi="Arial"/>
          <w:sz w:val="32"/>
          <w:szCs w:val="32"/>
          <w:rtl w:val="0"/>
          <w:lang w:val="en-US"/>
        </w:rPr>
        <w:t>, an 18-minute music video that delves into the water teachings of British Columbia's First Nations cultures. This innovative project, born from a three-year collaboration with First Nations communities, was envisioned by Co-Curator and ethnomusicologist Dr Jeanette Gallant. Featuring lyrics in the Squamish language and music by M</w:t>
      </w:r>
      <w:r>
        <w:rPr>
          <w:rFonts w:ascii="Arial" w:hAnsi="Arial" w:hint="default"/>
          <w:sz w:val="32"/>
          <w:szCs w:val="32"/>
          <w:rtl w:val="0"/>
          <w:lang w:val="fr-FR"/>
        </w:rPr>
        <w:t>é</w:t>
      </w:r>
      <w:r>
        <w:rPr>
          <w:rFonts w:ascii="Arial" w:hAnsi="Arial"/>
          <w:sz w:val="32"/>
          <w:szCs w:val="32"/>
          <w:rtl w:val="0"/>
          <w:lang w:val="en-US"/>
        </w:rPr>
        <w:t>tis-Canadian composer Patrick Carrabr</w:t>
      </w:r>
      <w:r>
        <w:rPr>
          <w:rFonts w:ascii="Arial" w:hAnsi="Arial" w:hint="default"/>
          <w:sz w:val="32"/>
          <w:szCs w:val="32"/>
          <w:rtl w:val="0"/>
          <w:lang w:val="fr-FR"/>
        </w:rPr>
        <w:t>é</w:t>
      </w:r>
      <w:r>
        <w:rPr>
          <w:rFonts w:ascii="Arial" w:hAnsi="Arial"/>
          <w:sz w:val="32"/>
          <w:szCs w:val="32"/>
          <w:rtl w:val="0"/>
          <w:lang w:val="en-US"/>
        </w:rPr>
        <w:t>, this work highlights Elektra's dedication to cultural diversity and artistic innovation.</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Arial" w:hAnsi="Arial"/>
          <w:sz w:val="32"/>
          <w:szCs w:val="32"/>
          <w:rtl w:val="0"/>
          <w:lang w:val="en-US"/>
        </w:rPr>
        <w:t xml:space="preserve">Beyond live performances, Elektra offers an array of digital experiences through its YouTube channel, which boasts a rich collection of individual videos, curated playlists, and concerts. The ensemble's </w:t>
      </w:r>
      <w:r>
        <w:rPr>
          <w:rFonts w:ascii="Arial" w:hAnsi="Arial"/>
          <w:sz w:val="32"/>
          <w:szCs w:val="32"/>
          <w:rtl w:val="0"/>
          <w:lang w:val="en-US"/>
        </w:rPr>
        <w:t>extensive discography is</w:t>
      </w:r>
      <w:r>
        <w:rPr>
          <w:rFonts w:ascii="Arial" w:hAnsi="Arial"/>
          <w:sz w:val="32"/>
          <w:szCs w:val="32"/>
          <w:rtl w:val="0"/>
          <w:lang w:val="en-US"/>
        </w:rPr>
        <w:t xml:space="preserve"> available on all major streaming platforms, and Elektra's website is a treasure trove of resources for choirs and conductors, providing repertoire inspiration and educational materials.</w:t>
      </w:r>
    </w:p>
    <w:p>
      <w:pPr>
        <w:pStyle w:val="Default"/>
        <w:spacing w:before="0" w:line="240" w:lineRule="auto"/>
        <w:rPr>
          <w:rFonts w:ascii="Times Roman" w:cs="Times Roman" w:hAnsi="Times Roman" w:eastAsia="Times Roman"/>
        </w:rPr>
      </w:pPr>
    </w:p>
    <w:p>
      <w:pPr>
        <w:pStyle w:val="Default"/>
        <w:spacing w:before="0" w:line="240" w:lineRule="auto"/>
        <w:rPr>
          <w:rFonts w:ascii="Arial" w:cs="Arial" w:hAnsi="Arial" w:eastAsia="Arial"/>
          <w:sz w:val="32"/>
          <w:szCs w:val="32"/>
          <w:lang w:val="en-US"/>
        </w:rPr>
      </w:pPr>
      <w:r>
        <w:rPr>
          <w:rFonts w:ascii="Arial" w:hAnsi="Arial"/>
          <w:sz w:val="32"/>
          <w:szCs w:val="32"/>
          <w:rtl w:val="0"/>
          <w:lang w:val="en-US"/>
        </w:rPr>
        <w:t>Elektra's commitment to community engagement is evident in its acclaimed programmes that nurture the next generation of singers, conductors, and composers. Through mentorship and training initiatives, Elektra continues to make a profound impact on the choral music landscape, inspiring and empowering individuals of all ages to explore their musical potential.</w:t>
      </w:r>
    </w:p>
    <w:p>
      <w:pPr>
        <w:pStyle w:val="Default"/>
        <w:spacing w:before="0" w:line="240" w:lineRule="auto"/>
        <w:rPr>
          <w:rFonts w:ascii="Arial" w:cs="Arial" w:hAnsi="Arial" w:eastAsia="Arial"/>
          <w:sz w:val="32"/>
          <w:szCs w:val="32"/>
          <w:lang w:val="en-US"/>
        </w:rPr>
      </w:pPr>
    </w:p>
    <w:p>
      <w:pPr>
        <w:pStyle w:val="Default"/>
        <w:spacing w:before="0" w:line="240" w:lineRule="auto"/>
      </w:pPr>
      <w:r>
        <w:rPr>
          <w:rFonts w:ascii="Arial" w:hAnsi="Arial"/>
          <w:sz w:val="32"/>
          <w:szCs w:val="32"/>
          <w:rtl w:val="0"/>
          <w:lang w:val="en-US"/>
        </w:rPr>
        <w:t xml:space="preserve">Elektra is honoured to sing </w:t>
      </w:r>
      <w:r>
        <w:rPr>
          <w:rFonts w:ascii="Arial" w:hAnsi="Arial"/>
          <w:sz w:val="32"/>
          <w:szCs w:val="32"/>
          <w:rtl w:val="0"/>
          <w:lang w:val="en-US"/>
        </w:rPr>
        <w:t>on the unceded and ancestral territory of the h</w:t>
      </w:r>
      <w:r>
        <w:rPr>
          <w:rFonts w:ascii="Arial" w:hAnsi="Arial" w:hint="default"/>
          <w:sz w:val="32"/>
          <w:szCs w:val="32"/>
          <w:rtl w:val="0"/>
          <w:lang w:val="en-US"/>
        </w:rPr>
        <w:t>ə</w:t>
      </w:r>
      <w:r>
        <w:rPr>
          <w:rFonts w:ascii="Arial" w:hAnsi="Arial"/>
          <w:sz w:val="32"/>
          <w:szCs w:val="32"/>
          <w:rtl w:val="0"/>
          <w:lang w:val="en-US"/>
        </w:rPr>
        <w:t>n</w:t>
      </w:r>
      <w:r>
        <w:rPr>
          <w:rFonts w:ascii="Arial" w:hAnsi="Arial" w:hint="default"/>
          <w:sz w:val="32"/>
          <w:szCs w:val="32"/>
          <w:rtl w:val="0"/>
          <w:lang w:val="en-US"/>
        </w:rPr>
        <w:t>̓</w:t>
      </w:r>
      <w:r>
        <w:rPr>
          <w:rFonts w:ascii="Arial" w:hAnsi="Arial"/>
          <w:sz w:val="32"/>
          <w:szCs w:val="32"/>
          <w:rtl w:val="0"/>
          <w:lang w:val="en-US"/>
        </w:rPr>
        <w:t>q</w:t>
      </w:r>
      <w:r>
        <w:rPr>
          <w:rFonts w:ascii="Arial" w:hAnsi="Arial" w:hint="default"/>
          <w:sz w:val="32"/>
          <w:szCs w:val="32"/>
          <w:rtl w:val="0"/>
          <w:lang w:val="en-US"/>
        </w:rPr>
        <w:t>̓ə</w:t>
      </w:r>
      <w:r>
        <w:rPr>
          <w:rFonts w:ascii="Arial" w:hAnsi="Arial"/>
          <w:sz w:val="32"/>
          <w:szCs w:val="32"/>
          <w:rtl w:val="0"/>
          <w:lang w:val="en-US"/>
        </w:rPr>
        <w:t>min</w:t>
      </w:r>
      <w:r>
        <w:rPr>
          <w:rFonts w:ascii="Arial" w:hAnsi="Arial" w:hint="default"/>
          <w:sz w:val="32"/>
          <w:szCs w:val="32"/>
          <w:rtl w:val="0"/>
          <w:lang w:val="en-US"/>
        </w:rPr>
        <w:t>̓ə</w:t>
      </w:r>
      <w:r>
        <w:rPr>
          <w:rFonts w:ascii="Arial" w:hAnsi="Arial"/>
          <w:sz w:val="32"/>
          <w:szCs w:val="32"/>
          <w:rtl w:val="0"/>
          <w:lang w:val="en-US"/>
        </w:rPr>
        <w:t>m</w:t>
      </w:r>
      <w:r>
        <w:rPr>
          <w:rFonts w:ascii="Arial" w:hAnsi="Arial" w:hint="default"/>
          <w:sz w:val="32"/>
          <w:szCs w:val="32"/>
          <w:rtl w:val="0"/>
          <w:lang w:val="en-US"/>
        </w:rPr>
        <w:t xml:space="preserve">̓ </w:t>
      </w:r>
      <w:r>
        <w:rPr>
          <w:rFonts w:ascii="Arial" w:hAnsi="Arial"/>
          <w:sz w:val="32"/>
          <w:szCs w:val="32"/>
          <w:rtl w:val="0"/>
          <w:lang w:val="en-US"/>
        </w:rPr>
        <w:t>and S</w:t>
      </w:r>
      <w:r>
        <w:rPr>
          <w:rFonts w:ascii="Arial" w:hAnsi="Arial" w:hint="default"/>
          <w:sz w:val="32"/>
          <w:szCs w:val="32"/>
          <w:rtl w:val="0"/>
          <w:lang w:val="en-US"/>
        </w:rPr>
        <w:t>ḵ</w:t>
      </w:r>
      <w:r>
        <w:rPr>
          <w:rFonts w:ascii="Arial" w:hAnsi="Arial"/>
          <w:sz w:val="32"/>
          <w:szCs w:val="32"/>
          <w:rtl w:val="0"/>
          <w:lang w:val="en-US"/>
        </w:rPr>
        <w:t>wx</w:t>
      </w:r>
      <w:r>
        <w:rPr>
          <w:rFonts w:ascii="Arial" w:hAnsi="Arial" w:hint="default"/>
          <w:sz w:val="32"/>
          <w:szCs w:val="32"/>
          <w:rtl w:val="0"/>
          <w:lang w:val="en-US"/>
        </w:rPr>
        <w:t>̱</w:t>
      </w:r>
      <w:r>
        <w:rPr>
          <w:rFonts w:ascii="Arial" w:hAnsi="Arial"/>
          <w:sz w:val="32"/>
          <w:szCs w:val="32"/>
          <w:rtl w:val="0"/>
          <w:lang w:val="en-US"/>
        </w:rPr>
        <w:t>w</w:t>
      </w:r>
      <w:r>
        <w:rPr>
          <w:rFonts w:ascii="Arial" w:hAnsi="Arial" w:hint="default"/>
          <w:sz w:val="32"/>
          <w:szCs w:val="32"/>
          <w:rtl w:val="0"/>
          <w:lang w:val="en-US"/>
        </w:rPr>
        <w:t>ú</w:t>
      </w:r>
      <w:r>
        <w:rPr>
          <w:rFonts w:ascii="Arial" w:hAnsi="Arial"/>
          <w:sz w:val="32"/>
          <w:szCs w:val="32"/>
          <w:rtl w:val="0"/>
          <w:lang w:val="en-US"/>
        </w:rPr>
        <w:t>7mesh speaking peoples, the x</w:t>
      </w:r>
      <w:r>
        <w:rPr>
          <w:rFonts w:ascii="Arial" w:hAnsi="Arial" w:hint="default"/>
          <w:sz w:val="32"/>
          <w:szCs w:val="32"/>
          <w:rtl w:val="0"/>
          <w:lang w:val="en-US"/>
        </w:rPr>
        <w:t>ʷ</w:t>
      </w:r>
      <w:r>
        <w:rPr>
          <w:rFonts w:ascii="Arial" w:hAnsi="Arial"/>
          <w:sz w:val="32"/>
          <w:szCs w:val="32"/>
          <w:rtl w:val="0"/>
          <w:lang w:val="en-US"/>
        </w:rPr>
        <w:t>m</w:t>
      </w:r>
      <w:r>
        <w:rPr>
          <w:rFonts w:ascii="Arial" w:hAnsi="Arial" w:hint="default"/>
          <w:sz w:val="32"/>
          <w:szCs w:val="32"/>
          <w:rtl w:val="0"/>
          <w:lang w:val="en-US"/>
        </w:rPr>
        <w:t>əθ</w:t>
      </w:r>
      <w:r>
        <w:rPr>
          <w:rFonts w:ascii="Arial" w:hAnsi="Arial"/>
          <w:sz w:val="32"/>
          <w:szCs w:val="32"/>
          <w:rtl w:val="0"/>
          <w:lang w:val="en-US"/>
        </w:rPr>
        <w:t>k</w:t>
      </w:r>
      <w:r>
        <w:rPr>
          <w:rFonts w:ascii="Arial" w:hAnsi="Arial" w:hint="default"/>
          <w:sz w:val="32"/>
          <w:szCs w:val="32"/>
          <w:rtl w:val="0"/>
          <w:lang w:val="en-US"/>
        </w:rPr>
        <w:t>ʷə</w:t>
      </w:r>
      <w:r>
        <w:rPr>
          <w:rFonts w:ascii="Arial" w:hAnsi="Arial"/>
          <w:sz w:val="32"/>
          <w:szCs w:val="32"/>
          <w:rtl w:val="0"/>
          <w:lang w:val="en-US"/>
        </w:rPr>
        <w:t>y</w:t>
      </w:r>
      <w:r>
        <w:rPr>
          <w:rFonts w:ascii="Arial" w:hAnsi="Arial" w:hint="default"/>
          <w:sz w:val="32"/>
          <w:szCs w:val="32"/>
          <w:rtl w:val="0"/>
          <w:lang w:val="en-US"/>
        </w:rPr>
        <w:t>̓ə</w:t>
      </w:r>
      <w:r>
        <w:rPr>
          <w:rFonts w:ascii="Arial" w:hAnsi="Arial"/>
          <w:sz w:val="32"/>
          <w:szCs w:val="32"/>
          <w:rtl w:val="0"/>
          <w:lang w:val="en-US"/>
        </w:rPr>
        <w:t>m (Musqueam), S</w:t>
      </w:r>
      <w:r>
        <w:rPr>
          <w:rFonts w:ascii="Arial" w:hAnsi="Arial" w:hint="default"/>
          <w:sz w:val="32"/>
          <w:szCs w:val="32"/>
          <w:rtl w:val="0"/>
          <w:lang w:val="en-US"/>
        </w:rPr>
        <w:t>ḵ</w:t>
      </w:r>
      <w:r>
        <w:rPr>
          <w:rFonts w:ascii="Arial" w:hAnsi="Arial"/>
          <w:sz w:val="32"/>
          <w:szCs w:val="32"/>
          <w:rtl w:val="0"/>
          <w:lang w:val="en-US"/>
        </w:rPr>
        <w:t>wx</w:t>
      </w:r>
      <w:r>
        <w:rPr>
          <w:rFonts w:ascii="Arial" w:hAnsi="Arial" w:hint="default"/>
          <w:sz w:val="32"/>
          <w:szCs w:val="32"/>
          <w:rtl w:val="0"/>
          <w:lang w:val="en-US"/>
        </w:rPr>
        <w:t>̱</w:t>
      </w:r>
      <w:r>
        <w:rPr>
          <w:rFonts w:ascii="Arial" w:hAnsi="Arial"/>
          <w:sz w:val="32"/>
          <w:szCs w:val="32"/>
          <w:rtl w:val="0"/>
          <w:lang w:val="en-US"/>
        </w:rPr>
        <w:t>w</w:t>
      </w:r>
      <w:r>
        <w:rPr>
          <w:rFonts w:ascii="Arial" w:hAnsi="Arial" w:hint="default"/>
          <w:sz w:val="32"/>
          <w:szCs w:val="32"/>
          <w:rtl w:val="0"/>
          <w:lang w:val="en-US"/>
        </w:rPr>
        <w:t>ú</w:t>
      </w:r>
      <w:r>
        <w:rPr>
          <w:rFonts w:ascii="Arial" w:hAnsi="Arial"/>
          <w:sz w:val="32"/>
          <w:szCs w:val="32"/>
          <w:rtl w:val="0"/>
          <w:lang w:val="en-US"/>
        </w:rPr>
        <w:t>7mesh (Squamish), and s</w:t>
      </w:r>
      <w:r>
        <w:rPr>
          <w:rFonts w:ascii="Arial" w:hAnsi="Arial" w:hint="default"/>
          <w:sz w:val="32"/>
          <w:szCs w:val="32"/>
          <w:rtl w:val="0"/>
          <w:lang w:val="en-US"/>
        </w:rPr>
        <w:t>ə</w:t>
      </w:r>
      <w:r>
        <w:rPr>
          <w:rFonts w:ascii="Arial" w:hAnsi="Arial"/>
          <w:sz w:val="32"/>
          <w:szCs w:val="32"/>
          <w:rtl w:val="0"/>
          <w:lang w:val="en-US"/>
        </w:rPr>
        <w:t>lilw</w:t>
      </w:r>
      <w:r>
        <w:rPr>
          <w:rFonts w:ascii="Arial" w:hAnsi="Arial" w:hint="default"/>
          <w:sz w:val="32"/>
          <w:szCs w:val="32"/>
          <w:rtl w:val="0"/>
          <w:lang w:val="en-US"/>
        </w:rPr>
        <w:t>ə</w:t>
      </w:r>
      <w:r>
        <w:rPr>
          <w:rFonts w:ascii="Arial" w:hAnsi="Arial"/>
          <w:sz w:val="32"/>
          <w:szCs w:val="32"/>
          <w:rtl w:val="0"/>
          <w:lang w:val="en-US"/>
        </w:rPr>
        <w:t>ta</w:t>
      </w:r>
      <w:r>
        <w:rPr>
          <w:rFonts w:ascii="Arial" w:hAnsi="Arial" w:hint="default"/>
          <w:sz w:val="32"/>
          <w:szCs w:val="32"/>
          <w:rtl w:val="0"/>
          <w:lang w:val="en-US"/>
        </w:rPr>
        <w:t xml:space="preserve">ɬ </w:t>
      </w:r>
      <w:r>
        <w:rPr>
          <w:rFonts w:ascii="Arial" w:hAnsi="Arial"/>
          <w:sz w:val="32"/>
          <w:szCs w:val="32"/>
          <w:rtl w:val="0"/>
          <w:lang w:val="en-US"/>
        </w:rPr>
        <w:t>(Tsleil-Waututh) Nations.</w:t>
      </w:r>
      <w:r>
        <w:rPr>
          <w:rFonts w:ascii="Times Roman" w:cs="Times Roman" w:hAnsi="Times Roman" w:eastAsia="Times Roman"/>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